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51A" w:rsidRDefault="0055451A" w:rsidP="0055451A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br/>
        <w:t>https://avalon.law.yale.edu/17th_century/mayflower.asp</w:t>
      </w:r>
    </w:p>
    <w:p w:rsidR="0055451A" w:rsidRDefault="0055451A" w:rsidP="0055451A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https://www.youtube.com/watch?v=5vKGU3aEGss</w:t>
      </w:r>
    </w:p>
    <w:p w:rsidR="0055451A" w:rsidRDefault="0055451A" w:rsidP="0055451A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https://avalon.law.yale.edu/18th_century/virginia.asp</w:t>
      </w:r>
    </w:p>
    <w:p w:rsidR="0055451A" w:rsidRDefault="0055451A" w:rsidP="0055451A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https://www.loc.gov/resource/rbc0001.2004pe76546/?sp=1</w:t>
      </w:r>
    </w:p>
    <w:p w:rsidR="00A409C6" w:rsidRDefault="00A409C6"/>
    <w:sectPr w:rsidR="00A409C6" w:rsidSect="00A409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5451A"/>
    <w:rsid w:val="0055451A"/>
    <w:rsid w:val="00A40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4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7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2021-04-21T08:00:00Z</dcterms:created>
  <dcterms:modified xsi:type="dcterms:W3CDTF">2021-04-21T08:01:00Z</dcterms:modified>
</cp:coreProperties>
</file>